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B170" w14:textId="77777777" w:rsidR="00A421BA" w:rsidRDefault="000B50D1" w:rsidP="000B50D1">
      <w:pPr>
        <w:pStyle w:val="Title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E11BC7" wp14:editId="22F38699">
            <wp:simplePos x="0" y="0"/>
            <wp:positionH relativeFrom="column">
              <wp:posOffset>-778510</wp:posOffset>
            </wp:positionH>
            <wp:positionV relativeFrom="paragraph">
              <wp:posOffset>-799465</wp:posOffset>
            </wp:positionV>
            <wp:extent cx="3166281" cy="742532"/>
            <wp:effectExtent l="0" t="0" r="0" b="635"/>
            <wp:wrapNone/>
            <wp:docPr id="2" name="Picture 2" descr="C:\Users\hat43177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t43177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81" cy="74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0D1">
        <w:rPr>
          <w:sz w:val="40"/>
        </w:rPr>
        <w:t>FAST FACTS</w:t>
      </w:r>
    </w:p>
    <w:p w14:paraId="4ED7FE6B" w14:textId="77777777" w:rsidR="00CB5EA7" w:rsidRDefault="00CB5EA7" w:rsidP="00CB5EA7">
      <w:pPr>
        <w:pStyle w:val="Default"/>
      </w:pPr>
    </w:p>
    <w:p w14:paraId="336B6EA3" w14:textId="2B20BB40" w:rsidR="00AE12D2" w:rsidRPr="00CB5EA7" w:rsidRDefault="00CB5EA7" w:rsidP="00CB5E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5EA7">
        <w:rPr>
          <w:rFonts w:cstheme="minorHAnsi"/>
        </w:rPr>
        <w:t xml:space="preserve"> </w:t>
      </w:r>
      <w:r w:rsidRPr="00CB5EA7">
        <w:rPr>
          <w:rFonts w:cstheme="minorHAnsi"/>
        </w:rPr>
        <w:t xml:space="preserve">A211801 - </w:t>
      </w:r>
      <w:r w:rsidRPr="00CB5EA7">
        <w:rPr>
          <w:rFonts w:cstheme="minorHAnsi"/>
          <w:b/>
          <w:bCs/>
        </w:rPr>
        <w:t xml:space="preserve">BRCA-P: A Randomized, Double-Blind, Placebo-Controlled, Multi-Center, International Phase 3 Study to determine the Preventive Effect of Denosumab on Breast Cancer in Women carrying a </w:t>
      </w:r>
      <w:r w:rsidRPr="00CB5EA7">
        <w:rPr>
          <w:rFonts w:cstheme="minorHAnsi"/>
          <w:b/>
          <w:bCs/>
          <w:i/>
          <w:iCs/>
        </w:rPr>
        <w:t xml:space="preserve">BRCA1 </w:t>
      </w:r>
      <w:r w:rsidRPr="00CB5EA7">
        <w:rPr>
          <w:rFonts w:cstheme="minorHAnsi"/>
          <w:b/>
          <w:bCs/>
        </w:rPr>
        <w:t>Germline Mutation</w:t>
      </w:r>
    </w:p>
    <w:p w14:paraId="423FED6C" w14:textId="29841783" w:rsidR="00AE12D2" w:rsidRPr="00CB5EA7" w:rsidRDefault="00AE12D2" w:rsidP="004D22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86B6CF" w14:textId="0A200236" w:rsidR="00AE12D2" w:rsidRPr="00CB5EA7" w:rsidRDefault="00AE12D2" w:rsidP="004D22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019163" w14:textId="65997A86" w:rsidR="00AE12D2" w:rsidRPr="00CB5EA7" w:rsidRDefault="00AE12D2" w:rsidP="004D2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BCD549" w14:textId="2C4EFC4E" w:rsidR="00D852BC" w:rsidRPr="00CB5EA7" w:rsidRDefault="00D852BC" w:rsidP="00D852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D320B4F" w14:textId="222626FD" w:rsidR="00D852BC" w:rsidRPr="00CB5EA7" w:rsidRDefault="00CB5EA7" w:rsidP="00D852B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Inclusion criteria</w:t>
      </w:r>
    </w:p>
    <w:p w14:paraId="45B7E33C" w14:textId="6C1B5F54" w:rsidR="00CB5EA7" w:rsidRPr="00CB5EA7" w:rsidRDefault="00CB5EA7" w:rsidP="00CB5E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Women with a confirmed deleterious or likely deleterious BRCA 1 germline mutation (Variant class 4 or 5)</w:t>
      </w:r>
      <w:r w:rsidRPr="00CB5EA7">
        <w:rPr>
          <w:rFonts w:cstheme="minorHAnsi"/>
          <w:b/>
        </w:rPr>
        <w:t>.</w:t>
      </w:r>
    </w:p>
    <w:p w14:paraId="3A954DE3" w14:textId="77777777" w:rsidR="00CB5EA7" w:rsidRPr="00CB5EA7" w:rsidRDefault="00CB5EA7" w:rsidP="00CB5EA7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B5EA7">
        <w:rPr>
          <w:rFonts w:asciiTheme="minorHAnsi" w:hAnsiTheme="minorHAnsi" w:cstheme="minorHAnsi"/>
          <w:sz w:val="22"/>
          <w:szCs w:val="22"/>
        </w:rPr>
        <w:t xml:space="preserve">Age ≥ 25 years and ≤ 55 years at randomization </w:t>
      </w:r>
    </w:p>
    <w:p w14:paraId="7487E5A9" w14:textId="41BBB4A9" w:rsidR="00CB5EA7" w:rsidRPr="00CB5EA7" w:rsidRDefault="00CB5EA7" w:rsidP="00CB5E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No evidence of breast cancer by MRI or MG and clinical breast examination within the last 6 months prior to randomization</w:t>
      </w:r>
    </w:p>
    <w:p w14:paraId="590E8AA3" w14:textId="35DA66EA" w:rsidR="00CB5EA7" w:rsidRPr="00CB5EA7" w:rsidRDefault="00CB5EA7" w:rsidP="00CB5E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No clinical evidence of ovarian cancer at randomization</w:t>
      </w:r>
    </w:p>
    <w:p w14:paraId="16AB0284" w14:textId="6D0070B3" w:rsidR="00CB5EA7" w:rsidRPr="00CB5EA7" w:rsidRDefault="00CB5EA7" w:rsidP="00CB5E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Negative pregnancy test at randomization for women of childbearing potential</w:t>
      </w:r>
    </w:p>
    <w:p w14:paraId="44F072AC" w14:textId="102868AC" w:rsidR="00CB5EA7" w:rsidRPr="00CB5EA7" w:rsidRDefault="00CB5EA7" w:rsidP="00CB5E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No preventive breast surgery planned at time of randomization</w:t>
      </w:r>
    </w:p>
    <w:p w14:paraId="79444375" w14:textId="7C49450E" w:rsidR="00CB5EA7" w:rsidRPr="00CB5EA7" w:rsidRDefault="00CB5EA7" w:rsidP="00CB5E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Eastern Cooperative Oncology Group (ECOG) performance status of 0 or 1</w:t>
      </w:r>
    </w:p>
    <w:p w14:paraId="21EB3288" w14:textId="62F70E07" w:rsidR="00CB5EA7" w:rsidRPr="00CB5EA7" w:rsidRDefault="00CB5EA7" w:rsidP="00CB5E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Written informed consent before any study-specific procedure is performed</w:t>
      </w:r>
    </w:p>
    <w:p w14:paraId="3AE21A5B" w14:textId="55DBFD95" w:rsidR="00CB5EA7" w:rsidRPr="00CB5EA7" w:rsidRDefault="00CB5EA7" w:rsidP="00CB5EA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39C2427" w14:textId="227E8940" w:rsidR="00CB5EA7" w:rsidRPr="00CB5EA7" w:rsidRDefault="00CB5EA7" w:rsidP="00CB5EA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Exclusion criteria</w:t>
      </w:r>
    </w:p>
    <w:p w14:paraId="6B641292" w14:textId="7D63143C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Prior bilateral mastectomy</w:t>
      </w:r>
    </w:p>
    <w:p w14:paraId="5D0C302A" w14:textId="3DF997E4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History of ovarian cancer (including fallopian and peritoneal cancer)</w:t>
      </w:r>
    </w:p>
    <w:p w14:paraId="2B44D255" w14:textId="36423501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History of breast cancer</w:t>
      </w:r>
    </w:p>
    <w:p w14:paraId="24F8464D" w14:textId="2526D9D3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 xml:space="preserve">History of invasive cancer except for basal cell or squamous cell skin cancer or carcinoma in situ of the cervix, stage 1 papillary or follicular thyroid cancer, atypical hyperplasia or LCIS (Lobular Carcinoma </w:t>
      </w:r>
      <w:proofErr w:type="gramStart"/>
      <w:r w:rsidRPr="00CB5EA7">
        <w:rPr>
          <w:rFonts w:cstheme="minorHAnsi"/>
          <w:b/>
        </w:rPr>
        <w:t>In</w:t>
      </w:r>
      <w:proofErr w:type="gramEnd"/>
      <w:r w:rsidRPr="00CB5EA7">
        <w:rPr>
          <w:rFonts w:cstheme="minorHAnsi"/>
          <w:b/>
        </w:rPr>
        <w:t xml:space="preserve"> Situ)</w:t>
      </w:r>
    </w:p>
    <w:p w14:paraId="5E7F2B19" w14:textId="08E19AB4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Pregnant or lactating women (within the last 2 months prior to randomization)</w:t>
      </w:r>
    </w:p>
    <w:p w14:paraId="51F8AD8D" w14:textId="55FC6F5A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Unwillingness to use highly effective contraception method during and within at least 5 months after cessation of denosumab/placebo therapy in women of childbearing potential. (Note: Women of childbearing potential should be monitored for pregnancy prior to each denosumab/placebo injection)</w:t>
      </w:r>
    </w:p>
    <w:p w14:paraId="675C2B75" w14:textId="77777777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 xml:space="preserve">Clinically relevant </w:t>
      </w:r>
      <w:proofErr w:type="spellStart"/>
      <w:r w:rsidRPr="00CB5EA7">
        <w:rPr>
          <w:rFonts w:cstheme="minorHAnsi"/>
          <w:b/>
        </w:rPr>
        <w:t>hypocalcaemia</w:t>
      </w:r>
      <w:proofErr w:type="spellEnd"/>
      <w:r w:rsidRPr="00CB5EA7">
        <w:rPr>
          <w:rFonts w:cstheme="minorHAnsi"/>
          <w:b/>
        </w:rPr>
        <w:t xml:space="preserve"> (history and current condition), or serum calcium &lt;2.0 mmol/L (&lt;8.0 mg/dL)</w:t>
      </w:r>
    </w:p>
    <w:p w14:paraId="5048ACFB" w14:textId="2C1D2953" w:rsidR="00CB5EA7" w:rsidRPr="00CB5EA7" w:rsidRDefault="00CB5EA7" w:rsidP="00CB5EA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 xml:space="preserve">Hypocalcemia defined by calcium below the normal range (a single value below the normal range does not necessarily constitute </w:t>
      </w:r>
      <w:proofErr w:type="gramStart"/>
      <w:r w:rsidRPr="00CB5EA7">
        <w:rPr>
          <w:rFonts w:cstheme="minorHAnsi"/>
          <w:b/>
        </w:rPr>
        <w:t>hypocalcemia, but</w:t>
      </w:r>
      <w:proofErr w:type="gramEnd"/>
      <w:r w:rsidRPr="00CB5EA7">
        <w:rPr>
          <w:rFonts w:cstheme="minorHAnsi"/>
          <w:b/>
        </w:rPr>
        <w:t xml:space="preserve"> should be ‘corrected’ before dosing the subject). Monitoring of calcium level in regular intervals (usually prior to IP administration) is highly recommended</w:t>
      </w:r>
    </w:p>
    <w:p w14:paraId="75C72EFD" w14:textId="7B7DBD29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Tamoxifen, raloxifene or aromatase inhibitor use during the last 3 months prior to randomization or for a duration of more than 3 years in total (current and prior HRT is permitted)</w:t>
      </w:r>
    </w:p>
    <w:p w14:paraId="21CED8D0" w14:textId="5A6A325D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Prior use of denosumab</w:t>
      </w:r>
    </w:p>
    <w:p w14:paraId="371B0C5A" w14:textId="44D0B13C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lastRenderedPageBreak/>
        <w:t>Subject has a known prior history or current evidence of osteonecrosis or osteomyelitis of the jaw, or an active dental/jaw condition which requires oral surgery including tooth extraction within 3 months of enrollment</w:t>
      </w:r>
    </w:p>
    <w:p w14:paraId="152C18A6" w14:textId="69DAFAE7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Concurrent treatment with a bisphosphonate or an anti-angiogenic agent</w:t>
      </w:r>
    </w:p>
    <w:p w14:paraId="10D84CE8" w14:textId="3568A75C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Any major medical or psychiatric condition that may prevent the subject from completing the study</w:t>
      </w:r>
    </w:p>
    <w:p w14:paraId="0AE937A3" w14:textId="117C88BB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Known active infection with Hepatitis B virus or Hepatitis C virus</w:t>
      </w:r>
    </w:p>
    <w:p w14:paraId="71962DFF" w14:textId="4CDC12A4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Known infection with human immunodeficiency virus (HIV)</w:t>
      </w:r>
    </w:p>
    <w:p w14:paraId="31C3FF23" w14:textId="21BC5321" w:rsidR="00CB5EA7" w:rsidRPr="00CB5EA7" w:rsidRDefault="00CB5EA7" w:rsidP="00CB5E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5EA7">
        <w:rPr>
          <w:rFonts w:cstheme="minorHAnsi"/>
          <w:b/>
        </w:rPr>
        <w:t>Use of any other investigational product (current or prior Aspirin or NSAIDs are permitted)</w:t>
      </w:r>
    </w:p>
    <w:p w14:paraId="50CDDA66" w14:textId="04406ADA" w:rsidR="00CB5EA7" w:rsidRPr="00CB5EA7" w:rsidRDefault="00CB5EA7" w:rsidP="00CB5EA7">
      <w:pPr>
        <w:rPr>
          <w:rFonts w:cstheme="minorHAnsi"/>
        </w:rPr>
      </w:pPr>
    </w:p>
    <w:p w14:paraId="364FE0F9" w14:textId="317677A4" w:rsidR="00CB5EA7" w:rsidRPr="00CB5EA7" w:rsidRDefault="00CB5EA7" w:rsidP="00CB5EA7"/>
    <w:p w14:paraId="28D8977C" w14:textId="18383FC6" w:rsidR="00CB5EA7" w:rsidRPr="00CB5EA7" w:rsidRDefault="00CB5EA7" w:rsidP="00CB5EA7"/>
    <w:p w14:paraId="40F34C99" w14:textId="50CE4FDD" w:rsidR="00CB5EA7" w:rsidRPr="00CB5EA7" w:rsidRDefault="00CB5EA7" w:rsidP="00CB5EA7"/>
    <w:p w14:paraId="15DAB9AA" w14:textId="03116336" w:rsidR="00CB5EA7" w:rsidRDefault="00CB5EA7" w:rsidP="00CB5EA7">
      <w:pPr>
        <w:rPr>
          <w:b/>
        </w:rPr>
      </w:pPr>
    </w:p>
    <w:p w14:paraId="4D17C7C9" w14:textId="0CFFB225" w:rsidR="00CB5EA7" w:rsidRPr="00CB5EA7" w:rsidRDefault="00CB5EA7" w:rsidP="00CB5EA7">
      <w:pPr>
        <w:tabs>
          <w:tab w:val="left" w:pos="2460"/>
        </w:tabs>
      </w:pPr>
      <w:r>
        <w:tab/>
      </w:r>
      <w:r>
        <w:rPr>
          <w:noProof/>
        </w:rPr>
        <w:drawing>
          <wp:inline distT="0" distB="0" distL="0" distR="0" wp14:anchorId="4861EFF6" wp14:editId="683F1837">
            <wp:extent cx="5943600" cy="3651250"/>
            <wp:effectExtent l="0" t="0" r="0" b="635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EA7" w:rsidRPr="00CB5EA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4F27" w14:textId="77777777" w:rsidR="009E5193" w:rsidRDefault="009E5193" w:rsidP="000B50D1">
      <w:pPr>
        <w:spacing w:after="0" w:line="240" w:lineRule="auto"/>
      </w:pPr>
      <w:r>
        <w:separator/>
      </w:r>
    </w:p>
  </w:endnote>
  <w:endnote w:type="continuationSeparator" w:id="0">
    <w:p w14:paraId="07C9702B" w14:textId="77777777" w:rsidR="009E5193" w:rsidRDefault="009E5193" w:rsidP="000B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C760" w14:textId="2EC2A4F5" w:rsidR="000B50D1" w:rsidRPr="000B50D1" w:rsidRDefault="000B50D1">
    <w:pPr>
      <w:pStyle w:val="Footer"/>
      <w:rPr>
        <w:rFonts w:ascii="Times New Roman" w:hAnsi="Times New Roman" w:cs="Times New Roman"/>
        <w:sz w:val="20"/>
      </w:rPr>
    </w:pPr>
    <w:r w:rsidRPr="000B50D1">
      <w:rPr>
        <w:rFonts w:ascii="Times New Roman" w:hAnsi="Times New Roman" w:cs="Times New Roman"/>
        <w:sz w:val="20"/>
      </w:rPr>
      <w:t>[pv_</w:t>
    </w:r>
    <w:r w:rsidR="00CB5EA7">
      <w:rPr>
        <w:rFonts w:ascii="Times New Roman" w:hAnsi="Times New Roman" w:cs="Times New Roman"/>
        <w:sz w:val="20"/>
      </w:rPr>
      <w:t>8-26-22</w:t>
    </w:r>
    <w:r w:rsidRPr="000B50D1">
      <w:rPr>
        <w:rFonts w:ascii="Times New Roman" w:hAnsi="Times New Roman" w:cs="Times New Roman"/>
        <w:sz w:val="20"/>
      </w:rPr>
      <w:t>]</w:t>
    </w:r>
    <w:r w:rsidRPr="000B50D1">
      <w:rPr>
        <w:rFonts w:ascii="Times New Roman" w:hAnsi="Times New Roman" w:cs="Times New Roman"/>
        <w:sz w:val="20"/>
      </w:rPr>
      <w:tab/>
      <w:t xml:space="preserve">Version </w:t>
    </w:r>
    <w:r w:rsidR="00A421BA">
      <w:rPr>
        <w:rFonts w:ascii="Times New Roman" w:hAnsi="Times New Roman" w:cs="Times New Roman"/>
        <w:sz w:val="20"/>
      </w:rPr>
      <w:t>1</w:t>
    </w:r>
    <w:r w:rsidRPr="000B50D1">
      <w:rPr>
        <w:rFonts w:ascii="Times New Roman" w:hAnsi="Times New Roman" w:cs="Times New Roman"/>
        <w:sz w:val="20"/>
      </w:rPr>
      <w:tab/>
    </w:r>
    <w:r w:rsidR="00CB5EA7">
      <w:rPr>
        <w:rFonts w:ascii="Times New Roman" w:hAnsi="Times New Roman" w:cs="Times New Roman"/>
        <w:sz w:val="20"/>
      </w:rPr>
      <w:t>A211801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C46F" w14:textId="77777777" w:rsidR="009E5193" w:rsidRDefault="009E5193" w:rsidP="000B50D1">
      <w:pPr>
        <w:spacing w:after="0" w:line="240" w:lineRule="auto"/>
      </w:pPr>
      <w:r>
        <w:separator/>
      </w:r>
    </w:p>
  </w:footnote>
  <w:footnote w:type="continuationSeparator" w:id="0">
    <w:p w14:paraId="77048107" w14:textId="77777777" w:rsidR="009E5193" w:rsidRDefault="009E5193" w:rsidP="000B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4397DAD" w14:textId="77777777" w:rsidR="000B50D1" w:rsidRPr="000B50D1" w:rsidRDefault="000B50D1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B50D1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B50D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0B50D1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0B50D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B60179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0B50D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0B50D1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0B50D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0B50D1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0B50D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B60179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0B50D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7C970AAC" w14:textId="77777777" w:rsidR="000B50D1" w:rsidRDefault="000B5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D0D"/>
    <w:multiLevelType w:val="hybridMultilevel"/>
    <w:tmpl w:val="DB504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FF4"/>
    <w:multiLevelType w:val="hybridMultilevel"/>
    <w:tmpl w:val="D212AE84"/>
    <w:lvl w:ilvl="0" w:tplc="11F65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7B07"/>
    <w:multiLevelType w:val="hybridMultilevel"/>
    <w:tmpl w:val="B150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5E5"/>
    <w:multiLevelType w:val="hybridMultilevel"/>
    <w:tmpl w:val="25C440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11D74"/>
    <w:multiLevelType w:val="hybridMultilevel"/>
    <w:tmpl w:val="51CC7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E9"/>
    <w:multiLevelType w:val="hybridMultilevel"/>
    <w:tmpl w:val="681C9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74BC"/>
    <w:multiLevelType w:val="hybridMultilevel"/>
    <w:tmpl w:val="F560F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EB1"/>
    <w:multiLevelType w:val="hybridMultilevel"/>
    <w:tmpl w:val="931ADE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E681A"/>
    <w:multiLevelType w:val="hybridMultilevel"/>
    <w:tmpl w:val="277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A7084"/>
    <w:multiLevelType w:val="hybridMultilevel"/>
    <w:tmpl w:val="332E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D32"/>
    <w:multiLevelType w:val="hybridMultilevel"/>
    <w:tmpl w:val="AA82E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4F10"/>
    <w:multiLevelType w:val="hybridMultilevel"/>
    <w:tmpl w:val="E396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2CA9"/>
    <w:multiLevelType w:val="hybridMultilevel"/>
    <w:tmpl w:val="F6060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0F3D6C"/>
    <w:multiLevelType w:val="hybridMultilevel"/>
    <w:tmpl w:val="D1D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5C99"/>
    <w:multiLevelType w:val="hybridMultilevel"/>
    <w:tmpl w:val="DB329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26D8"/>
    <w:multiLevelType w:val="hybridMultilevel"/>
    <w:tmpl w:val="8222C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57AD"/>
    <w:multiLevelType w:val="hybridMultilevel"/>
    <w:tmpl w:val="461E48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9603FE"/>
    <w:multiLevelType w:val="hybridMultilevel"/>
    <w:tmpl w:val="BD34E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74F0"/>
    <w:multiLevelType w:val="hybridMultilevel"/>
    <w:tmpl w:val="F5186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97C87"/>
    <w:multiLevelType w:val="hybridMultilevel"/>
    <w:tmpl w:val="211C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02EBF"/>
    <w:multiLevelType w:val="hybridMultilevel"/>
    <w:tmpl w:val="74B6DD20"/>
    <w:lvl w:ilvl="0" w:tplc="7AAA5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46B48"/>
    <w:multiLevelType w:val="hybridMultilevel"/>
    <w:tmpl w:val="F560F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B0B65"/>
    <w:multiLevelType w:val="hybridMultilevel"/>
    <w:tmpl w:val="A9AEF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C1296"/>
    <w:multiLevelType w:val="hybridMultilevel"/>
    <w:tmpl w:val="749CE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339E0"/>
    <w:multiLevelType w:val="hybridMultilevel"/>
    <w:tmpl w:val="384E8860"/>
    <w:lvl w:ilvl="0" w:tplc="BB4607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152102">
    <w:abstractNumId w:val="19"/>
  </w:num>
  <w:num w:numId="2" w16cid:durableId="606156552">
    <w:abstractNumId w:val="13"/>
  </w:num>
  <w:num w:numId="3" w16cid:durableId="641496060">
    <w:abstractNumId w:val="24"/>
  </w:num>
  <w:num w:numId="4" w16cid:durableId="1732607298">
    <w:abstractNumId w:val="23"/>
  </w:num>
  <w:num w:numId="5" w16cid:durableId="283971408">
    <w:abstractNumId w:val="15"/>
  </w:num>
  <w:num w:numId="6" w16cid:durableId="1554342643">
    <w:abstractNumId w:val="14"/>
  </w:num>
  <w:num w:numId="7" w16cid:durableId="838813639">
    <w:abstractNumId w:val="9"/>
  </w:num>
  <w:num w:numId="8" w16cid:durableId="900943118">
    <w:abstractNumId w:val="4"/>
  </w:num>
  <w:num w:numId="9" w16cid:durableId="1912232861">
    <w:abstractNumId w:val="17"/>
  </w:num>
  <w:num w:numId="10" w16cid:durableId="747120442">
    <w:abstractNumId w:val="12"/>
  </w:num>
  <w:num w:numId="11" w16cid:durableId="460466013">
    <w:abstractNumId w:val="22"/>
  </w:num>
  <w:num w:numId="12" w16cid:durableId="274484877">
    <w:abstractNumId w:val="18"/>
  </w:num>
  <w:num w:numId="13" w16cid:durableId="1542352961">
    <w:abstractNumId w:val="2"/>
  </w:num>
  <w:num w:numId="14" w16cid:durableId="642078791">
    <w:abstractNumId w:val="21"/>
  </w:num>
  <w:num w:numId="15" w16cid:durableId="1311062492">
    <w:abstractNumId w:val="6"/>
  </w:num>
  <w:num w:numId="16" w16cid:durableId="1978997863">
    <w:abstractNumId w:val="11"/>
  </w:num>
  <w:num w:numId="17" w16cid:durableId="1758405865">
    <w:abstractNumId w:val="10"/>
  </w:num>
  <w:num w:numId="18" w16cid:durableId="1581866040">
    <w:abstractNumId w:val="5"/>
  </w:num>
  <w:num w:numId="19" w16cid:durableId="1003514700">
    <w:abstractNumId w:val="16"/>
  </w:num>
  <w:num w:numId="20" w16cid:durableId="1336416453">
    <w:abstractNumId w:val="3"/>
  </w:num>
  <w:num w:numId="21" w16cid:durableId="135808025">
    <w:abstractNumId w:val="7"/>
  </w:num>
  <w:num w:numId="22" w16cid:durableId="990715730">
    <w:abstractNumId w:val="0"/>
  </w:num>
  <w:num w:numId="23" w16cid:durableId="578635064">
    <w:abstractNumId w:val="8"/>
  </w:num>
  <w:num w:numId="24" w16cid:durableId="700008440">
    <w:abstractNumId w:val="20"/>
  </w:num>
  <w:num w:numId="25" w16cid:durableId="203256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D1"/>
    <w:rsid w:val="00082A79"/>
    <w:rsid w:val="00096DB1"/>
    <w:rsid w:val="000A0B73"/>
    <w:rsid w:val="000B50D1"/>
    <w:rsid w:val="001D6C5E"/>
    <w:rsid w:val="002776AD"/>
    <w:rsid w:val="00287277"/>
    <w:rsid w:val="00314FCE"/>
    <w:rsid w:val="003E43FC"/>
    <w:rsid w:val="00411808"/>
    <w:rsid w:val="004763F4"/>
    <w:rsid w:val="004D2215"/>
    <w:rsid w:val="004E7186"/>
    <w:rsid w:val="00504641"/>
    <w:rsid w:val="00535243"/>
    <w:rsid w:val="00684B4B"/>
    <w:rsid w:val="0070375C"/>
    <w:rsid w:val="007A4641"/>
    <w:rsid w:val="00843EA2"/>
    <w:rsid w:val="0088275A"/>
    <w:rsid w:val="00957919"/>
    <w:rsid w:val="009C7945"/>
    <w:rsid w:val="009D6015"/>
    <w:rsid w:val="009D7936"/>
    <w:rsid w:val="009D7AEE"/>
    <w:rsid w:val="009E5193"/>
    <w:rsid w:val="009F4DC4"/>
    <w:rsid w:val="00A421BA"/>
    <w:rsid w:val="00A7203B"/>
    <w:rsid w:val="00A745FB"/>
    <w:rsid w:val="00AE12D2"/>
    <w:rsid w:val="00B60179"/>
    <w:rsid w:val="00BA6559"/>
    <w:rsid w:val="00CB5EA7"/>
    <w:rsid w:val="00D767B2"/>
    <w:rsid w:val="00D852BC"/>
    <w:rsid w:val="00DC06C1"/>
    <w:rsid w:val="00EF3723"/>
    <w:rsid w:val="00F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CACC"/>
  <w15:docId w15:val="{201E0CA7-A627-42D3-836A-8FCCB2C2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D1"/>
  </w:style>
  <w:style w:type="paragraph" w:styleId="Footer">
    <w:name w:val="footer"/>
    <w:basedOn w:val="Normal"/>
    <w:link w:val="FooterChar"/>
    <w:uiPriority w:val="99"/>
    <w:unhideWhenUsed/>
    <w:rsid w:val="000B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D1"/>
  </w:style>
  <w:style w:type="paragraph" w:styleId="ListParagraph">
    <w:name w:val="List Paragraph"/>
    <w:basedOn w:val="Normal"/>
    <w:uiPriority w:val="34"/>
    <w:qFormat/>
    <w:rsid w:val="00A421BA"/>
    <w:pPr>
      <w:ind w:left="720"/>
      <w:contextualSpacing/>
    </w:pPr>
  </w:style>
  <w:style w:type="paragraph" w:customStyle="1" w:styleId="Default">
    <w:name w:val="Default"/>
    <w:rsid w:val="009C7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3" ma:contentTypeDescription="Create a new document." ma:contentTypeScope="" ma:versionID="63e80852357275430194a062b61b645f">
  <xsd:schema xmlns:xsd="http://www.w3.org/2001/XMLSchema" xmlns:xs="http://www.w3.org/2001/XMLSchema" xmlns:p="http://schemas.microsoft.com/office/2006/metadata/properties" xmlns:ns3="a712be80-2ea5-418c-abd8-e7fbf1b4e532" xmlns:ns4="ee9d132f-5002-471a-9620-959d34f883ba" targetNamespace="http://schemas.microsoft.com/office/2006/metadata/properties" ma:root="true" ma:fieldsID="672b444a192fbf03c97e7a6b51895214" ns3:_="" ns4:_="">
    <xsd:import namespace="a712be80-2ea5-418c-abd8-e7fbf1b4e532"/>
    <xsd:import namespace="ee9d132f-5002-471a-9620-959d34f883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16F73-BFA7-4C91-AD50-FE5D2B105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9F7A8-F54F-4E1B-B6BC-D44AA04E2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2be80-2ea5-418c-abd8-e7fbf1b4e532"/>
    <ds:schemaRef ds:uri="ee9d132f-5002-471a-9620-959d34f88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4571E-5866-49D6-871A-7DFFE4094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Hatti A.</dc:creator>
  <cp:lastModifiedBy>Hicks, Anthony W.</cp:lastModifiedBy>
  <cp:revision>3</cp:revision>
  <dcterms:created xsi:type="dcterms:W3CDTF">2022-10-26T16:37:00Z</dcterms:created>
  <dcterms:modified xsi:type="dcterms:W3CDTF">2022-10-26T16:42:00Z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